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6373" w:rsidRPr="00E60BF7" w:rsidRDefault="00746373">
      <w:pPr>
        <w:rPr>
          <w:rFonts w:ascii="Futura" w:hAnsi="Futura"/>
        </w:rPr>
      </w:pPr>
      <w:r w:rsidRPr="00E60BF7">
        <w:rPr>
          <w:rFonts w:ascii="Futura" w:hAnsi="Futura"/>
        </w:rPr>
        <w:t>Prof. Dr. Bernardo Riffo</w:t>
      </w:r>
      <w:r w:rsidR="00E60BF7" w:rsidRPr="00E60BF7">
        <w:rPr>
          <w:rFonts w:ascii="Futura" w:hAnsi="Futura"/>
        </w:rPr>
        <w:t>, Universidad de Concepción, Chile</w:t>
      </w:r>
    </w:p>
    <w:p w:rsidR="00746373" w:rsidRPr="00E60BF7" w:rsidRDefault="00746373">
      <w:pPr>
        <w:rPr>
          <w:rFonts w:ascii="Futura" w:hAnsi="Futura"/>
        </w:rPr>
      </w:pPr>
    </w:p>
    <w:p w:rsidR="00E60BF7" w:rsidRPr="00E60BF7" w:rsidRDefault="00E60BF7" w:rsidP="00E60BF7">
      <w:pPr>
        <w:rPr>
          <w:rFonts w:ascii="Futura" w:hAnsi="Futura"/>
          <w:i/>
        </w:rPr>
      </w:pPr>
      <w:r w:rsidRPr="00E60BF7">
        <w:rPr>
          <w:rFonts w:ascii="Futura" w:hAnsi="Futura"/>
          <w:i/>
        </w:rPr>
        <w:t>Cognición y translación: una mirada psicolingüística</w:t>
      </w:r>
    </w:p>
    <w:p w:rsidR="00746373" w:rsidRPr="00E60BF7" w:rsidRDefault="00746373">
      <w:pPr>
        <w:rPr>
          <w:rFonts w:ascii="Futura" w:hAnsi="Futu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4367"/>
        <w:gridCol w:w="4674"/>
      </w:tblGrid>
      <w:tr w:rsidR="00746373" w:rsidRPr="00E60BF7">
        <w:tc>
          <w:tcPr>
            <w:tcW w:w="1526" w:type="dxa"/>
          </w:tcPr>
          <w:p w:rsidR="00746373" w:rsidRPr="00E60BF7" w:rsidRDefault="00746373">
            <w:pPr>
              <w:rPr>
                <w:rFonts w:ascii="Futura" w:hAnsi="Futura"/>
                <w:b/>
                <w:sz w:val="22"/>
                <w:szCs w:val="22"/>
              </w:rPr>
            </w:pPr>
            <w:r w:rsidRPr="00E60BF7">
              <w:rPr>
                <w:rFonts w:ascii="Futura" w:hAnsi="Futura"/>
                <w:b/>
                <w:sz w:val="22"/>
                <w:szCs w:val="22"/>
              </w:rPr>
              <w:t xml:space="preserve">Fecha </w:t>
            </w:r>
          </w:p>
        </w:tc>
        <w:tc>
          <w:tcPr>
            <w:tcW w:w="3402" w:type="dxa"/>
          </w:tcPr>
          <w:p w:rsidR="00746373" w:rsidRPr="00E60BF7" w:rsidRDefault="00746373">
            <w:pPr>
              <w:rPr>
                <w:rFonts w:ascii="Futura" w:hAnsi="Futura"/>
                <w:b/>
                <w:sz w:val="22"/>
                <w:szCs w:val="22"/>
              </w:rPr>
            </w:pPr>
            <w:r w:rsidRPr="00E60BF7">
              <w:rPr>
                <w:rFonts w:ascii="Futura" w:hAnsi="Futura"/>
                <w:b/>
                <w:sz w:val="22"/>
                <w:szCs w:val="22"/>
              </w:rPr>
              <w:t>Temas</w:t>
            </w:r>
          </w:p>
        </w:tc>
        <w:tc>
          <w:tcPr>
            <w:tcW w:w="3593" w:type="dxa"/>
          </w:tcPr>
          <w:p w:rsidR="00746373" w:rsidRPr="00E60BF7" w:rsidRDefault="00746373">
            <w:pPr>
              <w:rPr>
                <w:rFonts w:ascii="Futura" w:hAnsi="Futura"/>
                <w:b/>
                <w:sz w:val="22"/>
                <w:szCs w:val="22"/>
              </w:rPr>
            </w:pPr>
            <w:r w:rsidRPr="00E60BF7">
              <w:rPr>
                <w:rFonts w:ascii="Futura" w:hAnsi="Futura"/>
                <w:b/>
                <w:sz w:val="22"/>
                <w:szCs w:val="22"/>
              </w:rPr>
              <w:t>Descripción breve</w:t>
            </w:r>
          </w:p>
        </w:tc>
      </w:tr>
      <w:tr w:rsidR="00746373" w:rsidRPr="00E60BF7">
        <w:tc>
          <w:tcPr>
            <w:tcW w:w="1526" w:type="dxa"/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Sistema cognitivo (la memoria)</w:t>
            </w:r>
          </w:p>
        </w:tc>
        <w:tc>
          <w:tcPr>
            <w:tcW w:w="3593" w:type="dxa"/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Estructura y funciones de la memoria humana. Se presentan los sistemas que componen el sistema mnemónico (memoria sensorial, memoria de trabajo de largo plazo) y los principales procesos: percepción, registro, almacenamiento, recuperación, atención.</w:t>
            </w:r>
          </w:p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</w:p>
        </w:tc>
      </w:tr>
      <w:tr w:rsidR="00746373" w:rsidRPr="00E60BF7">
        <w:tc>
          <w:tcPr>
            <w:tcW w:w="1526" w:type="dxa"/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**</w:t>
            </w:r>
          </w:p>
        </w:tc>
        <w:tc>
          <w:tcPr>
            <w:tcW w:w="3402" w:type="dxa"/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Procesamiento fonológico y léxico</w:t>
            </w:r>
          </w:p>
        </w:tc>
        <w:tc>
          <w:tcPr>
            <w:tcW w:w="3593" w:type="dxa"/>
          </w:tcPr>
          <w:p w:rsidR="00746373" w:rsidRPr="00E60BF7" w:rsidRDefault="00746373" w:rsidP="00CB5BE8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Se estudia la percepción del habla: desde la señal acústica hasta las representaciones mentales de las unidades de la lengua. El reconocimiento de palabras, el acceso léxico y la producción léxica forman parte también de esta parte del curso.</w:t>
            </w:r>
          </w:p>
        </w:tc>
      </w:tr>
      <w:tr w:rsidR="00746373" w:rsidRPr="00E60BF7">
        <w:tc>
          <w:tcPr>
            <w:tcW w:w="1526" w:type="dxa"/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***</w:t>
            </w:r>
          </w:p>
        </w:tc>
        <w:tc>
          <w:tcPr>
            <w:tcW w:w="3402" w:type="dxa"/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Procesamiento sintáctico</w:t>
            </w:r>
          </w:p>
        </w:tc>
        <w:tc>
          <w:tcPr>
            <w:tcW w:w="3593" w:type="dxa"/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En esta temática se discute cómo opera la memoria para la comprensión de oraciones. Se analizan modelos teóricos y las evidencias empíricas que los sustentas. Un tema central es la cuestión sobre la autonomía de la sintaxis o su dependencia de los aspectos semánticos y pragmáticos.</w:t>
            </w:r>
          </w:p>
        </w:tc>
      </w:tr>
      <w:tr w:rsidR="00746373" w:rsidRPr="00E60BF7">
        <w:tc>
          <w:tcPr>
            <w:tcW w:w="1526" w:type="dxa"/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****</w:t>
            </w:r>
          </w:p>
        </w:tc>
        <w:tc>
          <w:tcPr>
            <w:tcW w:w="3402" w:type="dxa"/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Procesamiento del discurso</w:t>
            </w:r>
          </w:p>
        </w:tc>
        <w:tc>
          <w:tcPr>
            <w:tcW w:w="3593" w:type="dxa"/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El procesamiento del discurso corresponde al nivel de mayor complejidad, implica la integración de procesos fonológicos, léxicos, sintácticos y textuales. Se discute dentro de este tópico al relación del texto con su contexto a través de las operaciones mentales del lector/oyente. Las inferencias ocupan un lugar central en la discusión.</w:t>
            </w:r>
          </w:p>
        </w:tc>
      </w:tr>
      <w:tr w:rsidR="00746373" w:rsidRPr="00E60BF7">
        <w:tc>
          <w:tcPr>
            <w:tcW w:w="1526" w:type="dxa"/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*****</w:t>
            </w:r>
          </w:p>
        </w:tc>
        <w:tc>
          <w:tcPr>
            <w:tcW w:w="3402" w:type="dxa"/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Producción del lenguaje</w:t>
            </w:r>
          </w:p>
        </w:tc>
        <w:tc>
          <w:tcPr>
            <w:tcW w:w="3593" w:type="dxa"/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Los hablantes no solo reciben e interpretan mensajes verbales, sino que también son capaces de producirlos. Desde el punto de vista psicolingüístico, este fenómeno supone un conjunto de mecanismos y procesos mentales muy vinculados con los de la comprensión; sin embargo, existen diferencias entre sí.</w:t>
            </w:r>
          </w:p>
        </w:tc>
      </w:tr>
      <w:tr w:rsidR="00746373" w:rsidRPr="00E60BF7">
        <w:tc>
          <w:tcPr>
            <w:tcW w:w="1526" w:type="dxa"/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******</w:t>
            </w:r>
          </w:p>
        </w:tc>
        <w:tc>
          <w:tcPr>
            <w:tcW w:w="3402" w:type="dxa"/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La translación como actividad psicolingüística</w:t>
            </w:r>
          </w:p>
        </w:tc>
        <w:tc>
          <w:tcPr>
            <w:tcW w:w="3593" w:type="dxa"/>
          </w:tcPr>
          <w:p w:rsidR="00746373" w:rsidRPr="00E60BF7" w:rsidRDefault="00746373" w:rsidP="00CB5BE8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La comprensión y producción de mensajes lingüísticos constituye una actividad habitual para los hablantes. La traducción e interpretación en contextos profesionales, en cambio, no forma parte de lo que cualquier hablante hace. Estos procesos resultan particularmente complejos, ya que implican ambos sentidos del flujo y la manipulación de dos códigos lingüísticos en forma simultánea o diferida. En esta parte del curso se revisan propuestas teóricas para entender cómo opera el sistema cognitivo humano bajo las condiciones de traducción/interpretación.</w:t>
            </w:r>
          </w:p>
        </w:tc>
      </w:tr>
      <w:tr w:rsidR="00746373" w:rsidRPr="00E60BF7">
        <w:trPr>
          <w:trHeight w:val="570"/>
        </w:trPr>
        <w:tc>
          <w:tcPr>
            <w:tcW w:w="0" w:type="auto"/>
            <w:gridSpan w:val="3"/>
            <w:tcBorders>
              <w:bottom w:val="nil"/>
            </w:tcBorders>
          </w:tcPr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</w:p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  <w:r w:rsidRPr="00E60BF7">
              <w:rPr>
                <w:rFonts w:ascii="Futura" w:hAnsi="Futura"/>
                <w:sz w:val="22"/>
                <w:szCs w:val="22"/>
              </w:rPr>
              <w:t>Literatura sugerida:</w:t>
            </w:r>
          </w:p>
          <w:p w:rsidR="00746373" w:rsidRPr="00E60BF7" w:rsidRDefault="00746373" w:rsidP="00CB5BE8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Futura" w:hAnsi="Futura"/>
                <w:spacing w:val="-2"/>
                <w:sz w:val="22"/>
                <w:szCs w:val="22"/>
                <w:lang w:val="es-ES_tradnl"/>
              </w:rPr>
            </w:pPr>
          </w:p>
          <w:p w:rsidR="00746373" w:rsidRPr="00E60BF7" w:rsidRDefault="00746373" w:rsidP="00CB5BE8">
            <w:pPr>
              <w:ind w:left="567" w:hanging="567"/>
              <w:jc w:val="both"/>
              <w:rPr>
                <w:rFonts w:ascii="Futura" w:hAnsi="Futura" w:cs="Arial"/>
                <w:sz w:val="22"/>
                <w:szCs w:val="22"/>
                <w:lang w:val="es-ES_tradnl"/>
              </w:rPr>
            </w:pPr>
            <w:r w:rsidRPr="00E60BF7">
              <w:rPr>
                <w:rFonts w:ascii="Futura" w:hAnsi="Futura" w:cs="Arial"/>
                <w:sz w:val="22"/>
                <w:szCs w:val="22"/>
                <w:lang w:val="es-MX"/>
              </w:rPr>
              <w:t xml:space="preserve">Belinchón, M., Igoa, J. M. &amp; Riviére, A. (2005). </w:t>
            </w:r>
            <w:r w:rsidRPr="00E60BF7">
              <w:rPr>
                <w:rFonts w:ascii="Futura" w:hAnsi="Futura" w:cs="Arial"/>
                <w:i/>
                <w:sz w:val="22"/>
                <w:szCs w:val="22"/>
                <w:lang w:val="es-ES_tradnl"/>
              </w:rPr>
              <w:t>Psicología del lenguaje. Investigación y teoría</w:t>
            </w:r>
            <w:r w:rsidRPr="00E60BF7">
              <w:rPr>
                <w:rFonts w:ascii="Futura" w:hAnsi="Futura" w:cs="Arial"/>
                <w:sz w:val="22"/>
                <w:szCs w:val="22"/>
                <w:lang w:val="es-ES_tradnl"/>
              </w:rPr>
              <w:t>. Madrid: Trotta.</w:t>
            </w:r>
          </w:p>
          <w:p w:rsidR="00746373" w:rsidRPr="00E60BF7" w:rsidRDefault="00746373" w:rsidP="00CB5B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52"/>
              </w:tabs>
              <w:suppressAutoHyphens/>
              <w:ind w:left="567" w:hanging="567"/>
              <w:jc w:val="both"/>
              <w:rPr>
                <w:rFonts w:ascii="Futura" w:hAnsi="Futura"/>
                <w:spacing w:val="-2"/>
                <w:sz w:val="22"/>
                <w:szCs w:val="22"/>
                <w:lang w:val="es-MX"/>
              </w:rPr>
            </w:pPr>
            <w:r w:rsidRPr="00E60BF7">
              <w:rPr>
                <w:rFonts w:ascii="Futura" w:hAnsi="Futura"/>
                <w:spacing w:val="-2"/>
                <w:sz w:val="22"/>
                <w:szCs w:val="22"/>
                <w:lang w:val="en-US"/>
              </w:rPr>
              <w:t xml:space="preserve">Smith, E. &amp; Kosslyn, S. (2008). </w:t>
            </w:r>
            <w:r w:rsidRPr="00E60BF7">
              <w:rPr>
                <w:rFonts w:ascii="Futura" w:hAnsi="Futura"/>
                <w:i/>
                <w:spacing w:val="-2"/>
                <w:sz w:val="22"/>
                <w:szCs w:val="22"/>
                <w:lang w:val="es-MX"/>
              </w:rPr>
              <w:t>Procesos cognitivos. Modelos y bases neurales</w:t>
            </w:r>
            <w:r w:rsidRPr="00E60BF7">
              <w:rPr>
                <w:rFonts w:ascii="Futura" w:hAnsi="Futura"/>
                <w:spacing w:val="-2"/>
                <w:sz w:val="22"/>
                <w:szCs w:val="22"/>
                <w:lang w:val="es-MX"/>
              </w:rPr>
              <w:t>. Madrid: Pearson.</w:t>
            </w:r>
          </w:p>
          <w:p w:rsidR="00746373" w:rsidRPr="00E60BF7" w:rsidRDefault="00746373" w:rsidP="00CB5BE8">
            <w:pPr>
              <w:tabs>
                <w:tab w:val="left" w:pos="-720"/>
              </w:tabs>
              <w:suppressAutoHyphens/>
              <w:ind w:left="567" w:hanging="567"/>
              <w:jc w:val="both"/>
              <w:rPr>
                <w:rFonts w:ascii="Futura" w:hAnsi="Futura"/>
                <w:spacing w:val="-2"/>
                <w:sz w:val="22"/>
                <w:szCs w:val="22"/>
                <w:lang w:val="es-ES_tradnl"/>
              </w:rPr>
            </w:pPr>
            <w:r w:rsidRPr="00E60BF7">
              <w:rPr>
                <w:rFonts w:ascii="Futura" w:hAnsi="Futura"/>
                <w:spacing w:val="-2"/>
                <w:sz w:val="22"/>
                <w:szCs w:val="22"/>
                <w:lang w:val="es-ES_tradnl"/>
              </w:rPr>
              <w:t xml:space="preserve">Vega, M. de &amp; Cuetos, F. (1999). </w:t>
            </w:r>
            <w:r w:rsidRPr="00E60BF7">
              <w:rPr>
                <w:rFonts w:ascii="Futura" w:hAnsi="Futura"/>
                <w:i/>
                <w:spacing w:val="-2"/>
                <w:sz w:val="22"/>
                <w:szCs w:val="22"/>
                <w:lang w:val="es-ES_tradnl"/>
              </w:rPr>
              <w:t>Psicolingüística del español</w:t>
            </w:r>
            <w:r w:rsidRPr="00E60BF7">
              <w:rPr>
                <w:rFonts w:ascii="Futura" w:hAnsi="Futura"/>
                <w:spacing w:val="-2"/>
                <w:sz w:val="22"/>
                <w:szCs w:val="22"/>
                <w:lang w:val="es-ES_tradnl"/>
              </w:rPr>
              <w:t>. Madrid: Trotta.</w:t>
            </w:r>
          </w:p>
          <w:p w:rsidR="00746373" w:rsidRPr="00E60BF7" w:rsidRDefault="00746373">
            <w:pPr>
              <w:rPr>
                <w:rFonts w:ascii="Futura" w:hAnsi="Futura"/>
                <w:sz w:val="22"/>
                <w:szCs w:val="22"/>
              </w:rPr>
            </w:pPr>
          </w:p>
        </w:tc>
      </w:tr>
      <w:tr w:rsidR="00746373" w:rsidRPr="00E60BF7">
        <w:tc>
          <w:tcPr>
            <w:tcW w:w="0" w:type="auto"/>
            <w:gridSpan w:val="3"/>
            <w:tcBorders>
              <w:top w:val="nil"/>
              <w:right w:val="single" w:sz="4" w:space="0" w:color="auto"/>
            </w:tcBorders>
          </w:tcPr>
          <w:p w:rsidR="00746373" w:rsidRPr="00E60BF7" w:rsidRDefault="00746373">
            <w:pPr>
              <w:rPr>
                <w:rFonts w:ascii="Futura" w:hAnsi="Futura"/>
              </w:rPr>
            </w:pPr>
          </w:p>
        </w:tc>
      </w:tr>
    </w:tbl>
    <w:p w:rsidR="00746373" w:rsidRPr="00E60BF7" w:rsidRDefault="00746373" w:rsidP="00746373">
      <w:pPr>
        <w:rPr>
          <w:rFonts w:ascii="Futura" w:hAnsi="Futura"/>
        </w:rPr>
      </w:pPr>
    </w:p>
    <w:p w:rsidR="00271A83" w:rsidRPr="00E60BF7" w:rsidRDefault="00CC3E50">
      <w:pPr>
        <w:rPr>
          <w:rFonts w:ascii="Futura" w:hAnsi="Futura"/>
        </w:rPr>
      </w:pPr>
    </w:p>
    <w:sectPr w:rsidR="00271A83" w:rsidRPr="00E60BF7" w:rsidSect="00271A83"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46373"/>
    <w:rsid w:val="00746373"/>
    <w:rsid w:val="00CC3E50"/>
    <w:rsid w:val="00E60BF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6373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5091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2121</Characters>
  <Application>Microsoft Word 12.0.0</Application>
  <DocSecurity>0</DocSecurity>
  <Lines>17</Lines>
  <Paragraphs>4</Paragraphs>
  <ScaleCrop>false</ScaleCrop>
  <Company>ul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sinner</dc:creator>
  <cp:keywords/>
  <cp:lastModifiedBy>carsten sinner</cp:lastModifiedBy>
  <cp:revision>3</cp:revision>
  <dcterms:created xsi:type="dcterms:W3CDTF">2012-09-21T13:10:00Z</dcterms:created>
  <dcterms:modified xsi:type="dcterms:W3CDTF">2012-09-21T13:13:00Z</dcterms:modified>
</cp:coreProperties>
</file>